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372</w:t>
      </w:r>
    </w:p>
    <w:p>
      <w:r>
        <w:t>Bundesgericht (BGE), 2004-06-29, FR</w:t>
      </w:r>
    </w:p>
    <w:p>
      <w:r>
        <w:rPr>
          <w:b/>
        </w:rPr>
        <w:t xml:space="preserve">Quelle: </w:t>
      </w:r>
      <w:r>
        <w:t>https://mcp.opencaselaw.ch/entscheid/bge_131 I 372</w:t>
      </w:r>
    </w:p>
    <w:p>
      <w:r>
        <w:t>FR: ATF 131 I 372</w:t>
      </w:r>
    </w:p>
    <w:p>
      <w:r>
        <w:t>IT: DTF 131 I 372</w:t>
      </w:r>
    </w:p>
    <w:p>
      <w:pPr>
        <w:pStyle w:val="Heading2"/>
      </w:pPr>
      <w:r>
        <w:t>Regeste</w:t>
      </w:r>
    </w:p>
    <w:p>
      <w:r>
        <w:t>Regeste Art. 86 Abs. 1 OG; Erschöpfung des kantonalen Instanzenzuges; Strafprozessrecht des Kantons Waadt. Auf dem Gebiet des eidgenössischen Übertretungsstrafrechts kann der Verurteilte, der die Rüge der willkürlichen Beweiswürdigung erheben will, die staatsrechtliche Beschwerde direkt gegen das Urteil eines Waadtländer Polizeigerichts einreichen, das auf Appellation gegen den Entscheid eines Präfekten ergangen ist.</w:t>
      </w:r>
    </w:p>
    <w:p>
      <w:pPr>
        <w:pStyle w:val="Heading2"/>
      </w:pPr>
      <w:r>
        <w:t>Erwägungen</w:t>
      </w:r>
    </w:p>
    <w:p>
      <w:r>
        <w:rPr>
          <w:b/>
        </w:rPr>
        <w:t>E. 1.2.1</w:t>
      </w:r>
    </w:p>
    <w:p>
      <w:r>
        <w:t>La recevabilité du recours de droit public suppose l'épuisement des instances cantonales ( art. 86 al. 1 OJ ). D'après la jurisprudence constante, la notion de moyen de droit cantonal est large. Elle comprend non seulement les voies de recours ordinaires et extraordinaires, mais, d'une façon générale, toutes les voies de droit propres à éliminer le préjudice juridique allégué et qui sont de nature à obliger l'autorité saisie à statuer ( ATF 120 Ia 61 consid. 1a p. 62 et la jurisprudence citée).</w:t>
      </w:r>
    </w:p>
    <w:p>
      <w:r>
        <w:rPr>
          <w:b/>
        </w:rPr>
        <w:t>E. 1.2.2</w:t>
      </w:r>
    </w:p>
    <w:p>
      <w:r>
        <w:t>Le recours est dirigé, en l'espèce, contre une décision rendue par le tribunal de police sur appel d'un prononcé préfectoral. La loi vaudoise du 18 novembre 1969 sur les contraventions (LContr; nRSV 312.11) différencie les voies de recours contre une telle décision, suivant que la contravention réprimée repose sur le droit cantonal ou sur le droit fédéral. L'art. 80a al. 1 LContr. prescrit qu'un recours au Tribunal cantonal est ouvert contre le jugement rendu sur appel en matière de contraventions ou de délits de droit cantonal. L'alinéa 2 de cette disposition prévoit, en revanche, que le jugement rendu sur appel en matière de contraventions ou de délits de droit fédéral est définitif. Par voie jurisprudentielle, la Cour de cassation vaudoise a cependant ouvert, en matière de contravention de droit fédéral, une voie de recours en nullité, fondée sur l' art. 411 let . g CPP/VD, pour violation d'une règle essentielle de procédure cantonale. En effet, faute d'une voie de recours au Tribunal cantonal, le condamné serait contraint d'invoquer une telle violation dans un recours de droit public au Tribunal fédéral. Or, le recours de droit public au Tribunal fédéral est une voie de recours subsidiaire qui permet aux BGE 131 I 372 S. 375 particuliers de faire contrôler uniquement la constitutionnalité des actes étatiques cantonaux de nature législative, administrative et judiciaire. Cette voie de droit extraordinaire, ainsi que les moyens limités qu'elle permet d'invoquer, ne serait pas satisfaisante pour assurer le contrôle d'une correcte application des règles de procédure cantonales (arrêt du 20 mars 2000 de la Cour de cassation pénale vaudoise, affaire S., JdT 2001 III p. 95, consid. 1b p. 98). En revanche, le Tribunal cantonal vaudois a jugé que le Tribunal de police statuait définitivement sur les faits et n'a pas ouvert le recours en nullité fondé sur l' art. 411 let . h, i et j CPP/VD. Il a estimé qu'il n'était pas cohérent de multiplier les instances cantonales pour des affaires pénales de moindre importance. Selon lui, l'établissement des faits est suffisamment garanti en cette matière par deux instances cantonales (arrêt du 20 mars 2000 de la Cour de cassation pénale vaudoise, affaire S., in JdT 2001 III p. 95, consid. 1b p. 98).</w:t>
      </w:r>
    </w:p>
    <w:p>
      <w:r>
        <w:rPr>
          <w:b/>
        </w:rPr>
        <w:t>E. 1.2.3</w:t>
      </w:r>
    </w:p>
    <w:p>
      <w:r>
        <w:t>La réglementation vaudoise relative aux voies de recours en matière de contraventions de droit fédéral implique les conséquences suivantes sur le plan de la recevabilité du recours de droit public. Le condamné qui veut se plaindre que le Tribunal de police a établi les faits de manière arbitraire devra attaquer le jugement de ce tribunal directement auprès du Tribunal fédéral par le moyen du recours de droit public pour appréciation arbitraire des preuves ( art. 9 Cst. ). Le jugement sur appel est en effet définitif sur ce point; aucun recours ne peut être interjeté au Tribunal cantonal. En revanche, si le condamné s'en prend à l'application du droit de procédure cantonal, il devra d'abord saisir le Tribunal cantonal pour violation d'une règle essentielle de procédure ( art. 411 let . g CPP/VD) avant de pouvoir déposer un recours de droit public au Tribunal fédéral pour application arbitraire du droit cantonal ( art. 9 Cst. ). (...)</w:t>
      </w:r>
    </w:p>
    <w:p>
      <w:r>
        <w:rPr>
          <w:b/>
        </w:rPr>
        <w:t>E. 2</w:t>
      </w:r>
    </w:p>
    <w:p>
      <w:r>
        <w:t>Se fondant sur son droit d'être entendu, le recourant a requis une expertise pour déterminer l'heure et l'endroit exacts où le tachygraphe du véhicule de la gendarmerie a été déclenché, de même que les pointes de vitesse potentiellement mesurées pendant l'interception. Il précise que l'expertise avait pour but de déterminer l'effet de l'accélération des deux véhicules considérés pendant la prise de mesure ainsi que la distance à laquelle ces mesures ont été prises par rapport au véhicule du recourant. BGE 131 I 372 S. 376</w:t>
      </w:r>
    </w:p>
    <w:p>
      <w:r>
        <w:rPr>
          <w:b/>
        </w:rPr>
        <w:t>E. 2.1</w:t>
      </w:r>
    </w:p>
    <w:p>
      <w:r>
        <w:t>Selon la jurisprudence vaudoise, le droit d'être entendu tel qu'il est déduit des art. 29 Cst. et 6 CEDH constitue une règle essentielle de procédure au sens de l' art. 411 let . g CPP/VD. Cependant, dans la mesure où le recourant se plaint que le juge a refusé le moyen de preuve qu'il a offert et qu'il attaque l'appréciation anticipée de cette preuve, il se place alors sur le terrain de l'établissement des faits, qui ne peut être discuté devant la Cour de cassation vaudoise (cf. consid. 1.2.2, 3 e par.). En l'occurrence, l'expertise requise tend à remettre en cause l'état de fait, notamment quant à l'heure et à l'endroit exacts où le tachygraphe a été déclenché, de sorte que la Cour de cassation vaudoise a refusé d'entrer en matière sur ce grief dans son arrêt du 23 septembre 2004. Les conditions posées par l' art. 86 al. 1 OJ sont donc réalisées et le Tribunal fédéral peut entrer en matière sur le recours déposé directement contre la décision du 29 juin 2004 du tribunal de police.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